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MINUTA DE TERMO DE CONTRATO DE SERVIÇOS</w:t>
      </w:r>
      <w:bookmarkEnd w:id="0"/>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3.606/2026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90.023/2026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bookmarkStart w:id="8" w:name="_GoBack"/>
      <w:bookmarkEnd w:id="8"/>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 </w:t>
      </w:r>
      <w:r>
        <w:rPr>
          <w:rFonts w:hint="default" w:ascii="Arial" w:hAnsi="Arial" w:eastAsia="Times New Roman" w:cs="Arial"/>
          <w:b/>
          <w:bCs/>
          <w:sz w:val="22"/>
          <w:szCs w:val="22"/>
          <w:lang w:val="pt-BR" w:eastAsia="pt-BR" w:bidi="ar-SA"/>
        </w:rPr>
        <w:t>EMPRESA ESPECIALIZADA EM SERVIÇOS TÉCNICOS DE ENGENHARIA PARA REALIZAÇÃO DE ESTUDOS GEOTÉCNICOS NO MUNICÍPIO DE NOVA FRIBURGO/RJ</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C1594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t>artigo 105 da Lei n° 14.133, de 2021</w:t>
      </w:r>
      <w:r>
        <w:fldChar w:fldCharType="end"/>
      </w:r>
      <w:r>
        <w:rPr>
          <w:rFonts w:hint="default"/>
          <w:lang w:val="pt-BR"/>
        </w:rPr>
        <w:t xml:space="preserve">. </w:t>
      </w:r>
      <w:r>
        <w:rPr>
          <w:rFonts w:hint="default" w:ascii="Arial" w:hAnsi="Arial" w:cs="Arial"/>
          <w:lang w:val="pt-BR" w:eastAsia="zh-CN"/>
        </w:rPr>
        <w:t>Considerando a natureza continuada da contratação, os contratos derivados da ARP poderão ser renovados/prorrogados sucessivamente na forma dos arts. 106 e 107 da Lei nº. 14.133/2021.</w:t>
      </w:r>
    </w:p>
    <w:p w14:paraId="22EBC8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29C5E54D">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rPr>
      </w:pPr>
      <w:r>
        <w:rPr>
          <w:rFonts w:hint="default" w:ascii="Arial" w:hAnsi="Arial" w:cs="Arial"/>
          <w:b/>
          <w:bCs w:val="0"/>
          <w:iCs/>
          <w:color w:val="auto"/>
          <w:u w:val="single"/>
        </w:rPr>
        <w:t xml:space="preserve"> DO REGIME DE GARANTIA DE EXECUÇÃO</w:t>
      </w:r>
      <w:r>
        <w:rPr>
          <w:rFonts w:hint="default" w:ascii="Arial" w:hAnsi="Arial" w:cs="Arial"/>
          <w:b/>
          <w:bCs w:val="0"/>
          <w:iCs/>
          <w:color w:val="auto"/>
          <w:u w:val="single"/>
          <w:lang w:val="pt-BR"/>
        </w:rPr>
        <w:t>:</w:t>
      </w:r>
    </w:p>
    <w:p w14:paraId="3B1C986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3.1.1</w:t>
      </w:r>
      <w:r>
        <w:rPr>
          <w:rFonts w:hint="default" w:ascii="Arial" w:hAnsi="Arial" w:cs="Arial"/>
          <w:bCs/>
          <w:iCs/>
        </w:rPr>
        <w:t>. A contratação conta com garantia de execução, nos moldes do art. 96 da Lei n.º 14.133/2021, em valor correspondente a 5% (cinco por cento) do valor inicial/total do contrato, cabendo ao contratado optar por uma das seguintes modalidades de garantia</w:t>
      </w:r>
      <w:bookmarkStart w:id="3" w:name="art98p"/>
      <w:bookmarkEnd w:id="3"/>
      <w:r>
        <w:rPr>
          <w:rFonts w:hint="default" w:ascii="Arial" w:hAnsi="Arial" w:cs="Arial"/>
          <w:bCs/>
          <w:iCs/>
        </w:rPr>
        <w:t>:</w:t>
      </w:r>
    </w:p>
    <w:p w14:paraId="13E0B0F8">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3</w:t>
      </w:r>
      <w:r>
        <w:rPr>
          <w:rFonts w:hint="default" w:ascii="Arial" w:hAnsi="Arial" w:cs="Arial"/>
          <w:bCs/>
          <w:iCs/>
        </w:rPr>
        <w:t>.</w:t>
      </w:r>
      <w:r>
        <w:rPr>
          <w:rFonts w:hint="default" w:ascii="Arial" w:hAnsi="Arial" w:cs="Arial"/>
          <w:bCs/>
          <w:iCs/>
          <w:lang w:val="pt-BR"/>
        </w:rPr>
        <w:t>1.1.1</w:t>
      </w:r>
      <w:r>
        <w:rPr>
          <w:rFonts w:hint="default" w:ascii="Arial" w:hAnsi="Arial" w:cs="Arial"/>
          <w:bCs/>
          <w:iCs/>
        </w:rPr>
        <w:t xml:space="preserve">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4F96FB4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4" w:name="art96§1ii"/>
      <w:bookmarkEnd w:id="4"/>
      <w:r>
        <w:rPr>
          <w:rFonts w:hint="default" w:ascii="Arial" w:hAnsi="Arial" w:cs="Arial"/>
          <w:bCs/>
          <w:iCs/>
          <w:lang w:val="pt-BR"/>
        </w:rPr>
        <w:t>3.</w:t>
      </w:r>
      <w:r>
        <w:rPr>
          <w:rFonts w:hint="default" w:ascii="Arial" w:hAnsi="Arial" w:cs="Arial"/>
          <w:bCs/>
          <w:iCs/>
        </w:rPr>
        <w:t>1.2. seguro-garantia;</w:t>
      </w:r>
    </w:p>
    <w:p w14:paraId="30359208">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5" w:name="art96§1iii"/>
      <w:bookmarkEnd w:id="5"/>
      <w:r>
        <w:rPr>
          <w:rFonts w:hint="default" w:ascii="Arial" w:hAnsi="Arial" w:cs="Arial"/>
          <w:bCs/>
          <w:iCs/>
          <w:lang w:val="pt-BR"/>
        </w:rPr>
        <w:t>3.1.2.1</w:t>
      </w:r>
      <w:r>
        <w:rPr>
          <w:rFonts w:hint="default" w:ascii="Arial" w:hAnsi="Arial" w:cs="Arial"/>
          <w:bCs/>
          <w:iCs/>
        </w:rPr>
        <w:t>. Fiança bancária emitida por banco ou instituição financeira devidamente autorizada a operar no País pelo Banco Central do Brasil.</w:t>
      </w:r>
    </w:p>
    <w:p w14:paraId="3B06013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6" w:name="art96§1iv"/>
      <w:bookmarkEnd w:id="6"/>
      <w:r>
        <w:rPr>
          <w:rFonts w:hint="default" w:ascii="Arial" w:hAnsi="Arial" w:cs="Arial"/>
          <w:bCs/>
          <w:iCs/>
          <w:lang w:val="pt-BR"/>
        </w:rPr>
        <w:t>3.1.2.2</w:t>
      </w:r>
      <w:r>
        <w:rPr>
          <w:rFonts w:hint="default" w:ascii="Arial" w:hAnsi="Arial" w:cs="Arial"/>
          <w:bCs/>
          <w:iCs/>
        </w:rPr>
        <w:t>. Título de capitalização custeado por pagamento único, com resgate pelo valor total.</w:t>
      </w:r>
    </w:p>
    <w:p w14:paraId="708841E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3.1.2.3</w:t>
      </w:r>
      <w:r>
        <w:rPr>
          <w:rFonts w:hint="default" w:ascii="Arial" w:hAnsi="Arial" w:cs="Arial"/>
          <w:bCs/>
          <w:iCs/>
        </w:rPr>
        <w:t>. A garantia prestada pelo contratado será liberada ou restituída após a fiel execução do contrato ou após a sua extinção por culpa exclusiva da Administração e, quando em dinheiro, atualizada monetariamente.</w:t>
      </w:r>
    </w:p>
    <w:p w14:paraId="12C2FF1F">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3.1.2.4</w:t>
      </w:r>
      <w:r>
        <w:rPr>
          <w:rFonts w:hint="default" w:ascii="Arial" w:hAnsi="Arial" w:cs="Arial"/>
          <w:bCs/>
          <w:iCs/>
        </w:rPr>
        <w:t>.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5E1A72F">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u w:val="single"/>
          <w:lang w:val="pt-BR"/>
        </w:rPr>
      </w:pPr>
      <w:r>
        <w:rPr>
          <w:rFonts w:hint="default" w:ascii="Arial" w:hAnsi="Arial" w:cs="Arial"/>
          <w:b w:val="0"/>
          <w:bCs/>
          <w:iCs/>
          <w:u w:val="none"/>
          <w:lang w:val="pt-BR"/>
        </w:rPr>
        <w:t>3.2</w:t>
      </w:r>
      <w:r>
        <w:rPr>
          <w:rFonts w:hint="default" w:ascii="Arial" w:hAnsi="Arial" w:cs="Arial"/>
          <w:b/>
          <w:bCs w:val="0"/>
          <w:iCs/>
          <w:u w:val="single"/>
          <w:lang w:val="pt-BR"/>
        </w:rPr>
        <w:t xml:space="preserve"> DA GESTÃO DO CONTRATO:</w:t>
      </w:r>
    </w:p>
    <w:p w14:paraId="253165A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p>
    <w:p w14:paraId="3591D2B8">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3.2.1. O Contrato deverá ser executado fielmente pelas partes, de acordo com as cláusulas avençadas, as normas da </w:t>
      </w:r>
      <w:r>
        <w:rPr>
          <w:rFonts w:hint="default" w:ascii="Arial" w:hAnsi="Arial" w:cs="Arial"/>
          <w:bCs/>
          <w:iCs/>
          <w:lang w:val="pt-BR"/>
        </w:rPr>
        <w:fldChar w:fldCharType="begin"/>
      </w:r>
      <w:r>
        <w:rPr>
          <w:rFonts w:hint="default" w:ascii="Arial" w:hAnsi="Arial" w:cs="Arial"/>
          <w:bCs/>
          <w:iCs/>
          <w:lang w:val="pt-BR"/>
        </w:rPr>
        <w:instrText xml:space="preserve"> HYPERLINK "http://www.planalto.gov.br/ccivil_03/_ato2019-2022/2021/lei/L14133.htm" \h </w:instrText>
      </w:r>
      <w:r>
        <w:rPr>
          <w:rFonts w:hint="default" w:ascii="Arial" w:hAnsi="Arial" w:cs="Arial"/>
          <w:bCs/>
          <w:iCs/>
          <w:lang w:val="pt-BR"/>
        </w:rPr>
        <w:fldChar w:fldCharType="separate"/>
      </w:r>
      <w:r>
        <w:rPr>
          <w:rFonts w:hint="default" w:ascii="Arial" w:hAnsi="Arial" w:cs="Arial"/>
          <w:bCs/>
          <w:iCs/>
          <w:lang w:val="pt-BR"/>
        </w:rPr>
        <w:t>Lei Federal nº 14.133, de 2021</w:t>
      </w:r>
      <w:r>
        <w:rPr>
          <w:rFonts w:hint="default" w:ascii="Arial" w:hAnsi="Arial" w:cs="Arial"/>
          <w:bCs/>
          <w:iCs/>
          <w:lang w:val="pt-BR"/>
        </w:rPr>
        <w:fldChar w:fldCharType="end"/>
      </w:r>
      <w:r>
        <w:rPr>
          <w:rFonts w:hint="default" w:ascii="Arial" w:hAnsi="Arial" w:cs="Arial"/>
          <w:bCs/>
          <w:iCs/>
          <w:lang w:val="pt-BR"/>
        </w:rPr>
        <w:t xml:space="preserve"> e a legislação residual incidente, e cada parte responderá pelas consequências de sua inexecução total ou parcial.</w:t>
      </w:r>
    </w:p>
    <w:p w14:paraId="02BDD89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3.2.2. Em caso de impedimento, ordem de paralisação ou suspensão do contrato, seu prazo de vigência será prorrogado automaticamente pelo tempo correspondente, assim como nas contratações que previr a conclusão de escopo predefinido, cuja vigência será prorrogada automaticamente quando seu objeto não for concluído no período inicialmente firmado no contrato, obedecida à disciplina do art. 111 da Lei Federal nº. 14.133/2021.</w:t>
      </w:r>
    </w:p>
    <w:p w14:paraId="0896CB8F">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3.2.3. As comunicações entre o órgão ou entidade e a Contratada deverão ser realizadas por escrito, sempre que o ato exigir tal formalidade, admitindo-se o uso de mensagem eletrônica para esse fim.</w:t>
      </w:r>
    </w:p>
    <w:p w14:paraId="4186BD3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3.2.4. O órgão ou entidade poderá convocar representante da empresa para adoção de providências que devam ser cumpridas de imediato.</w:t>
      </w:r>
    </w:p>
    <w:p w14:paraId="0A21E89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3.2.5. Após a assinatura do Contrato ou instrumento equivalente, o órgão ou entidade poderá convocar o representante da Contratada para reunião inicial com vistas 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4F8F24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3.2.6. A execução do Contrato deverá ser acompanhada e fiscalizada pelo(s) fiscal(is) do Contrato, ou pelos respectivos substitutos, a serem indicados pela Secretaria Municipal de Obras, observado o art. 117 da Lei Federal n.º 14.133/2021.</w:t>
      </w:r>
    </w:p>
    <w:p w14:paraId="0ED0554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3.2.7. O fiscal técnico do Contrato acompanhará a sua execução, para que sejam cumpridas todas as condições nele estabelecidas, de modo a assegurar os melhores resultados para a Administração Pública.</w:t>
      </w:r>
    </w:p>
    <w:p w14:paraId="406686B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3.2.8. O fiscal técnico do Contrato anotará no histórico de gerenciamento todas as ocorrências relacionadas à execução contratual, com a descrição do que for necessário para a regularização das faltas ou dos defeitos observados, observado o art. 117 da Lei Federal n.º 14.133/2021.</w:t>
      </w:r>
    </w:p>
    <w:p w14:paraId="397CA43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3.2.9. Identificada qualquer inexatidão ou irregularidade, o fiscal técnico do Contrato emitirá notificações para a correção da execução contratual, determinando prazo para a correção.</w:t>
      </w:r>
    </w:p>
    <w:p w14:paraId="65BF3A93">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3.2.10. O fiscal técnico do Contrato informará ao gestor, em tempo hábil, a situação que demandar decisão ou adoção de medidas que ultrapassem sua competência, para que adote as medidas necessárias e saneadoras, se for o caso.</w:t>
      </w:r>
    </w:p>
    <w:p w14:paraId="7C57D58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3.2.11. No caso de ocorrências que possam inviabilizar a execução contratual nas datas aprazadas, o fiscal técnico do Contrato comunicará o fato imediatamente ao gestor. </w:t>
      </w:r>
    </w:p>
    <w:p w14:paraId="7682FD2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3.2.12. O fiscal técnico do Contrato comunicará ao gestor, em tempo hábil, o término do Contrato sob sua responsabilidade, com vistas à tempestiva renovação ou à prorrogação contratual.</w:t>
      </w:r>
    </w:p>
    <w:p w14:paraId="64812CE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3.2.13. O gestor do Contrato acompanhará os registros realizados pelos fiscais, de todas as ocorrências relacionadas à execução contratual e as medidas adotadas, informando, se for o caso, à autoridade superior àquelas que ultrapassarem a sua competência.</w:t>
      </w:r>
    </w:p>
    <w:p w14:paraId="1DB06836">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3.2.14.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6A292E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3.2.15. Caso ocorra descumprimento das obrigações contratuais, o fiscal administrativo do Contrato atuará tempestivamente na solução do problema, reportando ao gestor, para que tome as providências cabíveis, quando ultrapassar a sua competência.</w:t>
      </w:r>
    </w:p>
    <w:p w14:paraId="318F3E71">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3.2.16. 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6690746">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3.2.17.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414753B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3.2.18.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6ADFE7F">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3.2.19. O gestor do Contrato tomará providências para a formalização de processo administrativo de responsabilização com vistas à aplicação de sanções, a ser conduzido pela comissão de que trata o </w:t>
      </w:r>
      <w:r>
        <w:rPr>
          <w:rFonts w:hint="default" w:ascii="Arial" w:hAnsi="Arial" w:cs="Arial"/>
          <w:bCs/>
          <w:iCs/>
          <w:lang w:val="pt-BR"/>
        </w:rPr>
        <w:fldChar w:fldCharType="begin"/>
      </w:r>
      <w:r>
        <w:rPr>
          <w:rFonts w:hint="default" w:ascii="Arial" w:hAnsi="Arial" w:cs="Arial"/>
          <w:bCs/>
          <w:iCs/>
          <w:lang w:val="pt-BR"/>
        </w:rPr>
        <w:instrText xml:space="preserve"> HYPERLINK "https://www.planalto.gov.br/ccivil_03/_ato2019-2022/2021/lei/l14133.htm" \l "art158" </w:instrText>
      </w:r>
      <w:r>
        <w:rPr>
          <w:rFonts w:hint="default" w:ascii="Arial" w:hAnsi="Arial" w:cs="Arial"/>
          <w:bCs/>
          <w:iCs/>
          <w:lang w:val="pt-BR"/>
        </w:rPr>
        <w:fldChar w:fldCharType="separate"/>
      </w:r>
      <w:r>
        <w:rPr>
          <w:rFonts w:hint="default" w:ascii="Arial" w:hAnsi="Arial" w:cs="Arial"/>
          <w:bCs/>
          <w:iCs/>
          <w:lang w:val="pt-BR"/>
        </w:rPr>
        <w:t xml:space="preserve">art. 158 da Lei </w:t>
      </w:r>
      <w:r>
        <w:rPr>
          <w:rFonts w:hint="default" w:ascii="Arial" w:hAnsi="Arial" w:cs="Arial"/>
          <w:bCs/>
          <w:iCs/>
          <w:lang w:val="pt-BR"/>
        </w:rPr>
        <w:fldChar w:fldCharType="end"/>
      </w:r>
      <w:r>
        <w:rPr>
          <w:rFonts w:hint="default" w:ascii="Arial" w:hAnsi="Arial" w:cs="Arial"/>
          <w:bCs/>
          <w:iCs/>
          <w:lang w:val="pt-BR"/>
        </w:rPr>
        <w:t>Federal n.º 14.133, de 2021, pelo agente ou pelo setor com competência para tal, conforme o caso.</w:t>
      </w:r>
    </w:p>
    <w:p w14:paraId="2553568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3.2.20. O gestor do contrato deverá elaborar relatório final com informações sobre a consecução dos objetivos que tenham justificado a contratação e eventuais condutas a serem adotadas para o aprimoramento das atividades da Administração.</w:t>
      </w:r>
    </w:p>
    <w:p w14:paraId="6C1FAD9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3.2.21. O gestor do Contrato deverá enviar a documentação pertinente ao setor de Contratos para a formalização dos procedimentos de liquidação e pagamento, no valor dimensionado pela fiscalização e gestão nos termos do Contrato.</w:t>
      </w:r>
    </w:p>
    <w:p w14:paraId="3FEC8EB6">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45A82516">
      <w:pPr>
        <w:pStyle w:val="19"/>
        <w:widowControl/>
        <w:tabs>
          <w:tab w:val="left" w:pos="426"/>
        </w:tabs>
        <w:autoSpaceDE/>
        <w:autoSpaceDN/>
        <w:spacing w:before="120" w:after="120" w:line="276" w:lineRule="auto"/>
        <w:ind w:left="0"/>
        <w:jc w:val="both"/>
        <w:rPr>
          <w:rFonts w:ascii="Arial" w:hAnsi="Arial" w:cs="Arial"/>
          <w:bCs/>
          <w:iCs/>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7395BBF">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
          <w:bCs w:val="0"/>
          <w:iCs/>
          <w:color w:val="auto"/>
        </w:rPr>
      </w:pPr>
      <w:r>
        <w:rPr>
          <w:rFonts w:hint="default" w:ascii="Arial" w:hAnsi="Arial" w:cs="Arial"/>
          <w:bCs/>
          <w:iCs/>
          <w:color w:val="auto"/>
        </w:rPr>
        <w:t xml:space="preserve">A Nota Fiscal deverá ser emitida em nome de: </w:t>
      </w:r>
      <w:r>
        <w:rPr>
          <w:rFonts w:hint="default" w:ascii="Arial" w:hAnsi="Arial" w:cs="Arial"/>
          <w:b/>
          <w:bCs w:val="0"/>
          <w:iCs/>
          <w:color w:val="auto"/>
        </w:rPr>
        <w:t>MUNICÍPIO DE NOVA FRIBURGO</w:t>
      </w:r>
      <w:r>
        <w:rPr>
          <w:rFonts w:hint="default" w:ascii="Arial" w:hAnsi="Arial" w:cs="Arial"/>
          <w:b/>
          <w:bCs w:val="0"/>
          <w:iCs/>
          <w:color w:val="auto"/>
          <w:lang w:val="pt-BR"/>
        </w:rPr>
        <w:t xml:space="preserve">, </w:t>
      </w:r>
      <w:r>
        <w:rPr>
          <w:rFonts w:hint="default" w:ascii="Arial" w:hAnsi="Arial" w:cs="Arial"/>
          <w:b/>
          <w:bCs w:val="0"/>
          <w:iCs/>
          <w:color w:val="auto"/>
        </w:rPr>
        <w:t>CNPJ: 28.606.630/0001-23</w:t>
      </w:r>
      <w:r>
        <w:rPr>
          <w:rFonts w:hint="default" w:ascii="Arial" w:hAnsi="Arial" w:cs="Arial"/>
          <w:b/>
          <w:bCs w:val="0"/>
          <w:iCs/>
          <w:color w:val="auto"/>
          <w:lang w:val="pt-BR"/>
        </w:rPr>
        <w:t xml:space="preserve">, </w:t>
      </w:r>
      <w:r>
        <w:rPr>
          <w:rFonts w:hint="default" w:ascii="Arial" w:hAnsi="Arial" w:cs="Arial"/>
          <w:b/>
          <w:bCs w:val="0"/>
          <w:iCs/>
          <w:color w:val="auto"/>
        </w:rPr>
        <w:t>ENDEREÇO: Avenida Alberto Braune, 225, Centro, Nova Friburgo.</w:t>
      </w:r>
    </w:p>
    <w:p w14:paraId="6D9EF563">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u w:val="single"/>
        </w:rPr>
      </w:pPr>
      <w:r>
        <w:rPr>
          <w:rFonts w:hint="default" w:ascii="Arial" w:hAnsi="Arial" w:cs="Arial"/>
          <w:bCs/>
          <w:iCs/>
          <w:color w:val="auto"/>
          <w:u w:val="single"/>
          <w:lang w:val="pt-BR"/>
        </w:rPr>
        <w:t xml:space="preserve">6.2 </w:t>
      </w:r>
      <w:r>
        <w:rPr>
          <w:rFonts w:hint="default" w:ascii="Arial" w:hAnsi="Arial" w:cs="Arial"/>
          <w:bCs/>
          <w:iCs/>
          <w:color w:val="auto"/>
          <w:u w:val="single"/>
        </w:rPr>
        <w:t>Da liquidação da despesa:</w:t>
      </w:r>
    </w:p>
    <w:p w14:paraId="732EA82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6.2</w:t>
      </w:r>
      <w:r>
        <w:rPr>
          <w:rFonts w:hint="default" w:ascii="Arial" w:hAnsi="Arial" w:cs="Arial"/>
          <w:bCs/>
          <w:iCs/>
          <w:color w:val="auto"/>
        </w:rPr>
        <w:t>.1.</w:t>
      </w:r>
      <w:r>
        <w:rPr>
          <w:rFonts w:hint="default" w:ascii="Arial" w:hAnsi="Arial" w:cs="Arial"/>
          <w:bCs/>
          <w:iCs/>
          <w:color w:val="auto"/>
          <w:lang w:eastAsia="en-US"/>
        </w:rPr>
        <w:t>A liquidação será realizada pela Secretaria Municipal de F</w:t>
      </w:r>
      <w:r>
        <w:rPr>
          <w:rFonts w:hint="default" w:ascii="Arial" w:hAnsi="Arial" w:cs="Arial"/>
          <w:bCs/>
          <w:iCs/>
          <w:color w:val="auto"/>
          <w:lang w:val="pt-BR" w:eastAsia="en-US"/>
        </w:rPr>
        <w:t>azenda</w:t>
      </w:r>
      <w:r>
        <w:rPr>
          <w:rFonts w:hint="default" w:ascii="Arial" w:hAnsi="Arial" w:cs="Arial"/>
          <w:bCs/>
          <w:iCs/>
          <w:color w:val="auto"/>
          <w:lang w:eastAsia="en-US"/>
        </w:rPr>
        <w:t xml:space="preserve">, a partir do cumprimento das obrigações elencadas </w:t>
      </w:r>
      <w:r>
        <w:rPr>
          <w:rFonts w:hint="default" w:ascii="Arial" w:hAnsi="Arial" w:cs="Arial"/>
          <w:bCs/>
          <w:iCs/>
          <w:color w:val="auto"/>
          <w:lang w:val="pt-BR" w:eastAsia="en-US"/>
        </w:rPr>
        <w:t xml:space="preserve">no </w:t>
      </w:r>
      <w:r>
        <w:rPr>
          <w:rFonts w:hint="default" w:ascii="Arial" w:hAnsi="Arial" w:cs="Arial"/>
          <w:bCs/>
          <w:iCs/>
          <w:color w:val="auto"/>
          <w:lang w:eastAsia="en-US"/>
        </w:rPr>
        <w:t>Termo de Referência, em obediência ao Decreto nº 2493, de 07 de novembro de 2023 ou outro que vier a substituí-lo</w:t>
      </w:r>
      <w:r>
        <w:rPr>
          <w:rFonts w:hint="default" w:ascii="Arial" w:hAnsi="Arial" w:cs="Arial"/>
          <w:bCs/>
          <w:iCs/>
          <w:color w:val="auto"/>
        </w:rPr>
        <w:t xml:space="preserve"> e alterações do Decreto nº 3116 de 18/09/2024. </w:t>
      </w:r>
    </w:p>
    <w:p w14:paraId="26E5589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u w:val="single"/>
        </w:rPr>
      </w:pPr>
      <w:r>
        <w:rPr>
          <w:rFonts w:hint="default" w:ascii="Arial" w:hAnsi="Arial" w:cs="Arial"/>
          <w:bCs/>
          <w:iCs/>
          <w:color w:val="auto"/>
          <w:u w:val="single"/>
          <w:lang w:val="pt-BR"/>
        </w:rPr>
        <w:t>6.3</w:t>
      </w:r>
      <w:r>
        <w:rPr>
          <w:rFonts w:hint="default" w:ascii="Arial" w:hAnsi="Arial" w:cs="Arial"/>
          <w:bCs/>
          <w:iCs/>
          <w:color w:val="auto"/>
          <w:u w:val="single"/>
        </w:rPr>
        <w:t>. Do pagamento da despesa:</w:t>
      </w:r>
    </w:p>
    <w:p w14:paraId="61E03BB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6.3</w:t>
      </w:r>
      <w:r>
        <w:rPr>
          <w:rFonts w:hint="default" w:ascii="Arial" w:hAnsi="Arial" w:cs="Arial"/>
          <w:bCs/>
          <w:iCs/>
          <w:color w:val="auto"/>
        </w:rPr>
        <w:t>.1.</w:t>
      </w:r>
      <w:r>
        <w:rPr>
          <w:rFonts w:hint="default" w:ascii="Arial" w:hAnsi="Arial" w:cs="Arial"/>
          <w:bCs/>
          <w:iCs/>
          <w:color w:val="auto"/>
          <w:lang w:eastAsia="en-US"/>
        </w:rPr>
        <w:t xml:space="preserve"> O pagamento será efetuado conforme estabelecido no Decreto Municipal nº 2493, de 07 de novembro de 2023 ou outro que vier a substituí-lo e </w:t>
      </w:r>
      <w:r>
        <w:rPr>
          <w:rFonts w:hint="default" w:ascii="Arial" w:hAnsi="Arial" w:cs="Arial"/>
          <w:bCs/>
          <w:iCs/>
          <w:color w:val="auto"/>
        </w:rPr>
        <w:t>alterações do Decreto nº 3116 de 18/09/2024,</w:t>
      </w:r>
      <w:r>
        <w:rPr>
          <w:rFonts w:hint="default" w:ascii="Arial" w:hAnsi="Arial" w:cs="Arial"/>
          <w:bCs/>
          <w:iCs/>
          <w:color w:val="auto"/>
          <w:lang w:eastAsia="en-US"/>
        </w:rPr>
        <w:t xml:space="preserve"> desde que as certidões listadas abaixo estejam dentro da validade</w:t>
      </w:r>
      <w:r>
        <w:rPr>
          <w:rFonts w:hint="default" w:ascii="Arial" w:hAnsi="Arial" w:cs="Arial"/>
          <w:bCs/>
          <w:iCs/>
          <w:color w:val="auto"/>
        </w:rPr>
        <w:t>:</w:t>
      </w:r>
    </w:p>
    <w:p w14:paraId="26A3E327">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 xml:space="preserve">Negativa de Débitos Trabalhistas; </w:t>
      </w:r>
    </w:p>
    <w:p w14:paraId="05CDD92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 xml:space="preserve">Fazenda Federal – abrange as contribuições sociais; </w:t>
      </w:r>
    </w:p>
    <w:p w14:paraId="6825D86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 xml:space="preserve">FGTS; </w:t>
      </w:r>
    </w:p>
    <w:p w14:paraId="2054900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 xml:space="preserve">PGE – referente à Dívida Ativa Estadual; </w:t>
      </w:r>
    </w:p>
    <w:p w14:paraId="449B785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 xml:space="preserve">Municipal – referente ao ISS e Dívida Ativa; </w:t>
      </w:r>
    </w:p>
    <w:p w14:paraId="780ACD1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w:t>
      </w:r>
      <w:r>
        <w:rPr>
          <w:rFonts w:hint="default" w:ascii="Arial" w:hAnsi="Arial" w:cs="Arial"/>
          <w:bCs/>
          <w:iCs/>
          <w:color w:val="auto"/>
        </w:rPr>
        <w:t>Estadual CND – referente ao ICMS.</w:t>
      </w:r>
    </w:p>
    <w:p w14:paraId="4180D1C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w:t>
      </w:r>
      <w:r>
        <w:rPr>
          <w:rFonts w:hint="default" w:ascii="Arial" w:hAnsi="Arial" w:cs="Arial"/>
          <w:bCs/>
          <w:iCs/>
          <w:color w:val="auto"/>
        </w:rPr>
        <w:t xml:space="preserve">.3.2. A Nota Fiscal deverá conter a identificação do Banco, número da Agência e da Conta-Corrente, para que possibilite o CONTRATANTE efetuar o pagamento do valor devido; </w:t>
      </w:r>
    </w:p>
    <w:p w14:paraId="55B6B12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w:t>
      </w:r>
      <w:r>
        <w:rPr>
          <w:rFonts w:hint="default" w:ascii="Arial" w:hAnsi="Arial" w:cs="Arial"/>
          <w:bCs/>
          <w:iCs/>
          <w:color w:val="auto"/>
        </w:rPr>
        <w:t>.3.3. Na ocorrência de rejeição da(s) Nota(s) Fiscal (s), motivada por erro ou incorreções, o prazo para pagamento estipulado no regulamento acima passará a ser contado a partir da data de sua reapresentação.</w:t>
      </w:r>
    </w:p>
    <w:p w14:paraId="0D87CF28">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6.3</w:t>
      </w:r>
      <w:r>
        <w:rPr>
          <w:rFonts w:hint="default" w:ascii="Arial" w:hAnsi="Arial" w:cs="Arial"/>
          <w:bCs/>
          <w:iCs/>
          <w:color w:val="auto"/>
        </w:rPr>
        <w:t>.4.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147A60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w:t>
      </w:r>
      <w:r>
        <w:rPr>
          <w:rFonts w:hint="default" w:ascii="Arial" w:hAnsi="Arial" w:cs="Arial"/>
          <w:bCs/>
          <w:iCs/>
          <w:color w:val="auto"/>
        </w:rPr>
        <w:t>.4. A Licitante deverá apresentar o cronograma físico-financeiro adequado a sua proposta e em conformidade com o percentual previsto para desembolso elaborado pela Administração.</w:t>
      </w:r>
    </w:p>
    <w:p w14:paraId="6C2AE98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w:t>
      </w:r>
      <w:r>
        <w:rPr>
          <w:rFonts w:hint="default" w:ascii="Arial" w:hAnsi="Arial" w:cs="Arial"/>
          <w:bCs/>
          <w:iCs/>
          <w:color w:val="auto"/>
        </w:rPr>
        <w:t>.5. Os pagamentos serão efetuados conforme a legislação de regência.</w:t>
      </w:r>
    </w:p>
    <w:p w14:paraId="13617F96">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w:t>
      </w:r>
      <w:r>
        <w:rPr>
          <w:rFonts w:hint="default" w:ascii="Arial" w:hAnsi="Arial" w:cs="Arial"/>
          <w:bCs/>
          <w:iCs/>
          <w:color w:val="auto"/>
        </w:rPr>
        <w:t>.6. Quando da apresentação das medições, deverá ser observada a normativa incidente, bem como a manutenção da regularidade fiscal ao longo do contrato.</w:t>
      </w:r>
    </w:p>
    <w:p w14:paraId="28D77267">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6.7</w:t>
      </w:r>
      <w:r>
        <w:rPr>
          <w:rFonts w:hint="default" w:ascii="Arial" w:hAnsi="Arial" w:cs="Arial"/>
          <w:bCs/>
          <w:iCs/>
          <w:color w:val="auto"/>
        </w:rPr>
        <w:t>. Não serão concedidos reajustes contratuais quando não houver o cumprimento do cronograma proposto pela Contratada, não justificado pela fiscalização.</w:t>
      </w:r>
    </w:p>
    <w:p w14:paraId="26AF9A29">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6.8</w:t>
      </w:r>
      <w:r>
        <w:rPr>
          <w:rFonts w:hint="default" w:ascii="Arial" w:hAnsi="Arial" w:cs="Arial"/>
          <w:bCs/>
          <w:iCs/>
          <w:color w:val="auto"/>
        </w:rPr>
        <w:t>. Na hipótese de atraso no pagamento pela Administração, a aplicação de atualização do valor deverá atender, inicialmente, a legislação que rege a matéria e o menor índice legal previsto.</w:t>
      </w:r>
    </w:p>
    <w:p w14:paraId="5E9A069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6.9</w:t>
      </w:r>
      <w:r>
        <w:rPr>
          <w:rFonts w:hint="default" w:ascii="Arial" w:hAnsi="Arial" w:cs="Arial"/>
          <w:bCs/>
          <w:iCs/>
          <w:color w:val="auto"/>
        </w:rPr>
        <w:t>. Não será admitida a cessão de crédito pela Contratada.</w:t>
      </w:r>
    </w:p>
    <w:p w14:paraId="2877512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Pr>
      </w:pPr>
      <w:r>
        <w:rPr>
          <w:rFonts w:hint="default" w:ascii="Arial" w:hAnsi="Arial" w:cs="Arial"/>
          <w:bCs/>
          <w:iCs/>
          <w:color w:val="auto"/>
          <w:lang w:val="pt-BR"/>
        </w:rPr>
        <w:t>6.10.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21105A49">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1521846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CE48C2">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B4064E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306C23E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3FA90B1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531A319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EEE34D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6E100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069699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9AB1FE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4F33B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5245517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552A197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4B21034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4C87114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74AEDF3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73B6BFB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14:paraId="44E67F5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59AF0F2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BE63FD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B2CC73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FE28EB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5965C905">
      <w:pPr>
        <w:pStyle w:val="19"/>
        <w:widowControl/>
        <w:tabs>
          <w:tab w:val="left" w:pos="426"/>
        </w:tabs>
        <w:autoSpaceDE/>
        <w:autoSpaceDN/>
        <w:spacing w:before="120" w:after="120" w:line="276" w:lineRule="auto"/>
        <w:ind w:left="0"/>
        <w:jc w:val="both"/>
        <w:rPr>
          <w:rFonts w:ascii="Arial" w:hAnsi="Arial" w:cs="Arial"/>
          <w:bCs/>
          <w:iCs/>
          <w:lang w:val="pt-BR"/>
        </w:rPr>
      </w:pPr>
    </w:p>
    <w:p w14:paraId="08F3143E">
      <w:pPr>
        <w:pStyle w:val="19"/>
        <w:numPr>
          <w:ilvl w:val="0"/>
          <w:numId w:val="3"/>
        </w:numPr>
        <w:tabs>
          <w:tab w:val="left" w:pos="284"/>
        </w:tabs>
        <w:spacing w:line="360"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3516D586">
      <w:pPr>
        <w:pStyle w:val="10"/>
        <w:numPr>
          <w:ilvl w:val="1"/>
          <w:numId w:val="3"/>
        </w:numPr>
        <w:spacing w:line="360" w:lineRule="auto"/>
        <w:ind w:left="0" w:leftChars="0" w:firstLine="0" w:firstLineChars="0"/>
        <w:jc w:val="both"/>
        <w:rPr>
          <w:rFonts w:hint="default" w:ascii="Arial" w:hAnsi="Arial" w:eastAsia="Verdana" w:cs="Arial"/>
          <w:bCs/>
          <w:iCs/>
          <w:sz w:val="22"/>
          <w:szCs w:val="22"/>
          <w:lang w:val="pt-BR" w:eastAsia="en-US" w:bidi="ar-SA"/>
        </w:rPr>
      </w:pPr>
      <w:r>
        <w:rPr>
          <w:rFonts w:ascii="Arial" w:hAnsi="Arial" w:eastAsia="Verdana" w:cs="Arial"/>
          <w:bCs/>
          <w:iCs/>
          <w:sz w:val="22"/>
          <w:szCs w:val="22"/>
          <w:lang w:val="pt-BR" w:eastAsia="en-US" w:bidi="ar-SA"/>
        </w:rPr>
        <w:t xml:space="preserve">A contratação conta com garantia de execução, nos moldes do </w:t>
      </w:r>
      <w:r>
        <w:rPr>
          <w:rFonts w:ascii="Arial" w:hAnsi="Arial" w:eastAsia="Verdana" w:cs="Arial"/>
          <w:bCs/>
          <w:iCs/>
          <w:sz w:val="22"/>
          <w:szCs w:val="22"/>
          <w:lang w:val="pt-BR" w:eastAsia="en-US" w:bidi="ar-SA"/>
        </w:rPr>
        <w:fldChar w:fldCharType="begin"/>
      </w:r>
      <w:r>
        <w:rPr>
          <w:rFonts w:ascii="Arial" w:hAnsi="Arial" w:eastAsia="Verdana" w:cs="Arial"/>
          <w:bCs/>
          <w:iCs/>
          <w:sz w:val="22"/>
          <w:szCs w:val="22"/>
          <w:lang w:val="pt-BR" w:eastAsia="en-US" w:bidi="ar-SA"/>
        </w:rPr>
        <w:instrText xml:space="preserve"> HYPERLINK "http://www.planalto.gov.br/ccivil_03/_ato2019-2022/2021/lei/L14133.htm" \l "art96" </w:instrText>
      </w:r>
      <w:r>
        <w:rPr>
          <w:rFonts w:ascii="Arial" w:hAnsi="Arial" w:eastAsia="Verdana" w:cs="Arial"/>
          <w:bCs/>
          <w:iCs/>
          <w:sz w:val="22"/>
          <w:szCs w:val="22"/>
          <w:lang w:val="pt-BR" w:eastAsia="en-US" w:bidi="ar-SA"/>
        </w:rPr>
        <w:fldChar w:fldCharType="separate"/>
      </w:r>
      <w:r>
        <w:rPr>
          <w:rFonts w:ascii="Arial" w:hAnsi="Arial" w:eastAsia="Verdana" w:cs="Arial"/>
          <w:bCs/>
          <w:iCs/>
          <w:sz w:val="22"/>
          <w:szCs w:val="22"/>
          <w:lang w:val="pt-BR" w:eastAsia="en-US" w:bidi="ar-SA"/>
        </w:rPr>
        <w:t>art. 96 da Lei nº 14.133</w:t>
      </w:r>
      <w:r>
        <w:rPr>
          <w:rFonts w:ascii="Arial" w:hAnsi="Arial" w:eastAsia="Verdana" w:cs="Arial"/>
          <w:bCs/>
          <w:iCs/>
          <w:sz w:val="22"/>
          <w:szCs w:val="22"/>
          <w:lang w:val="pt-BR" w:eastAsia="en-US" w:bidi="ar-SA"/>
        </w:rPr>
        <w:fldChar w:fldCharType="end"/>
      </w:r>
      <w:r>
        <w:rPr>
          <w:rFonts w:ascii="Arial" w:hAnsi="Arial" w:eastAsia="Verdana" w:cs="Arial"/>
          <w:bCs/>
          <w:iCs/>
          <w:sz w:val="22"/>
          <w:szCs w:val="22"/>
          <w:lang w:val="pt-BR" w:eastAsia="en-US" w:bidi="ar-SA"/>
        </w:rPr>
        <w:t>, de 2021</w:t>
      </w:r>
      <w:r>
        <w:rPr>
          <w:rFonts w:hint="default" w:ascii="Arial" w:hAnsi="Arial" w:eastAsia="Verdana" w:cs="Arial"/>
          <w:bCs/>
          <w:iCs/>
          <w:sz w:val="22"/>
          <w:szCs w:val="22"/>
          <w:lang w:val="pt-BR" w:eastAsia="en-US" w:bidi="ar-SA"/>
        </w:rPr>
        <w:t>,</w:t>
      </w:r>
      <w:r>
        <w:rPr>
          <w:rFonts w:ascii="Arial" w:hAnsi="Arial" w:eastAsia="Verdana" w:cs="Arial"/>
          <w:bCs/>
          <w:iCs/>
          <w:sz w:val="22"/>
          <w:szCs w:val="22"/>
          <w:lang w:val="pt-BR" w:eastAsia="en-US" w:bidi="ar-SA"/>
        </w:rPr>
        <w:t xml:space="preserve"> em valor correspondente a </w:t>
      </w:r>
      <w:r>
        <w:rPr>
          <w:rFonts w:hint="default" w:ascii="Arial" w:hAnsi="Arial" w:eastAsia="Verdana" w:cs="Arial"/>
          <w:bCs/>
          <w:iCs/>
          <w:sz w:val="22"/>
          <w:szCs w:val="22"/>
          <w:lang w:val="pt-BR" w:eastAsia="en-US" w:bidi="ar-SA"/>
        </w:rPr>
        <w:t>5% (cinco por cento) do valor inicial/total do contrato, cabendo ao contratado optar por uma das seguintes modalidades de garantia:</w:t>
      </w:r>
    </w:p>
    <w:p w14:paraId="30F1864D">
      <w:pPr>
        <w:pStyle w:val="13"/>
        <w:spacing w:beforeAutospacing="0" w:afterAutospacing="0" w:line="360" w:lineRule="auto"/>
        <w:jc w:val="both"/>
        <w:rPr>
          <w:rFonts w:hint="default" w:ascii="Arial" w:hAnsi="Arial" w:eastAsia="Verdana" w:cs="Arial"/>
          <w:bCs/>
          <w:iCs/>
          <w:sz w:val="22"/>
          <w:szCs w:val="22"/>
          <w:lang w:val="pt-BR" w:eastAsia="en-US" w:bidi="ar-SA"/>
        </w:rPr>
      </w:pPr>
      <w:r>
        <w:rPr>
          <w:rFonts w:hint="default" w:ascii="Arial" w:hAnsi="Arial" w:eastAsia="Verdana" w:cs="Arial"/>
          <w:bCs/>
          <w:iCs/>
          <w:sz w:val="22"/>
          <w:szCs w:val="22"/>
          <w:lang w:val="pt-BR" w:eastAsia="en-US" w:bidi="ar-SA"/>
        </w:rPr>
        <w:t>10.1.1.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1941AA51">
      <w:pPr>
        <w:pStyle w:val="13"/>
        <w:spacing w:beforeAutospacing="0" w:afterAutospacing="0" w:line="360" w:lineRule="auto"/>
        <w:jc w:val="both"/>
        <w:rPr>
          <w:rFonts w:hint="default" w:ascii="Arial" w:hAnsi="Arial" w:eastAsia="Verdana" w:cs="Arial"/>
          <w:bCs/>
          <w:iCs/>
          <w:sz w:val="22"/>
          <w:szCs w:val="22"/>
          <w:lang w:val="pt-BR" w:eastAsia="en-US" w:bidi="ar-SA"/>
        </w:rPr>
      </w:pPr>
      <w:r>
        <w:rPr>
          <w:rFonts w:hint="default" w:ascii="Arial" w:hAnsi="Arial" w:eastAsia="Verdana" w:cs="Arial"/>
          <w:bCs/>
          <w:iCs/>
          <w:sz w:val="22"/>
          <w:szCs w:val="22"/>
          <w:lang w:val="pt-BR" w:eastAsia="en-US" w:bidi="ar-SA"/>
        </w:rPr>
        <w:t>10.1.2. seguro-garantia;</w:t>
      </w:r>
    </w:p>
    <w:p w14:paraId="7A3CF674">
      <w:pPr>
        <w:pStyle w:val="13"/>
        <w:spacing w:beforeAutospacing="0" w:afterAutospacing="0" w:line="360" w:lineRule="auto"/>
        <w:jc w:val="both"/>
        <w:rPr>
          <w:rFonts w:hint="default" w:ascii="Arial" w:hAnsi="Arial" w:eastAsia="Verdana" w:cs="Arial"/>
          <w:bCs/>
          <w:iCs/>
          <w:sz w:val="22"/>
          <w:szCs w:val="22"/>
          <w:lang w:val="pt-BR" w:eastAsia="en-US" w:bidi="ar-SA"/>
        </w:rPr>
      </w:pPr>
      <w:r>
        <w:rPr>
          <w:rFonts w:hint="default" w:ascii="Arial" w:hAnsi="Arial" w:eastAsia="Verdana" w:cs="Arial"/>
          <w:bCs/>
          <w:iCs/>
          <w:sz w:val="22"/>
          <w:szCs w:val="22"/>
          <w:lang w:val="pt-BR" w:eastAsia="en-US" w:bidi="ar-SA"/>
        </w:rPr>
        <w:t>10.1.3. Fiança bancária emitida por banco ou instituição financeira devidamente autorizada a operar no País pelo Banco Central do Brasil.</w:t>
      </w:r>
    </w:p>
    <w:p w14:paraId="220A8E24">
      <w:pPr>
        <w:pStyle w:val="13"/>
        <w:spacing w:beforeAutospacing="0" w:afterAutospacing="0" w:line="360" w:lineRule="auto"/>
        <w:jc w:val="both"/>
        <w:rPr>
          <w:rFonts w:hint="default" w:ascii="Arial" w:hAnsi="Arial" w:eastAsia="Verdana" w:cs="Arial"/>
          <w:bCs/>
          <w:iCs/>
          <w:sz w:val="22"/>
          <w:szCs w:val="22"/>
          <w:lang w:val="pt-BR" w:eastAsia="en-US" w:bidi="ar-SA"/>
        </w:rPr>
      </w:pPr>
      <w:r>
        <w:rPr>
          <w:rFonts w:hint="default" w:ascii="Arial" w:hAnsi="Arial" w:eastAsia="Verdana" w:cs="Arial"/>
          <w:bCs/>
          <w:iCs/>
          <w:sz w:val="22"/>
          <w:szCs w:val="22"/>
          <w:lang w:val="pt-BR" w:eastAsia="en-US" w:bidi="ar-SA"/>
        </w:rPr>
        <w:t>10.1.4. Título de capitalização custeado por pagamento único, com resgate pelo valor total.</w:t>
      </w:r>
    </w:p>
    <w:p w14:paraId="50A5D9F5">
      <w:pPr>
        <w:spacing w:line="360" w:lineRule="auto"/>
        <w:jc w:val="both"/>
        <w:rPr>
          <w:rFonts w:hint="default" w:ascii="Arial" w:hAnsi="Arial" w:eastAsia="Verdana" w:cs="Arial"/>
          <w:bCs/>
          <w:iCs/>
          <w:sz w:val="22"/>
          <w:szCs w:val="22"/>
          <w:lang w:val="pt-BR" w:eastAsia="en-US" w:bidi="ar-SA"/>
        </w:rPr>
      </w:pPr>
      <w:r>
        <w:rPr>
          <w:rFonts w:hint="default" w:ascii="Arial" w:hAnsi="Arial" w:cs="Arial"/>
          <w:bCs/>
          <w:iCs/>
          <w:sz w:val="22"/>
          <w:szCs w:val="22"/>
          <w:lang w:val="pt-BR" w:eastAsia="en-US" w:bidi="ar-SA"/>
        </w:rPr>
        <w:t>10</w:t>
      </w:r>
      <w:r>
        <w:rPr>
          <w:rFonts w:hint="default" w:ascii="Arial" w:hAnsi="Arial" w:eastAsia="Verdana" w:cs="Arial"/>
          <w:bCs/>
          <w:iCs/>
          <w:sz w:val="22"/>
          <w:szCs w:val="22"/>
          <w:lang w:val="pt-BR" w:eastAsia="en-US" w:bidi="ar-SA"/>
        </w:rPr>
        <w:t>.2. A garantia prestada pelo contratado será liberada ou restituída após a fiel execução do contrato ou após a sua extinção por culpa exclusiva da Administração e, quando em dinheiro, atualizada monetariamente.</w:t>
      </w:r>
    </w:p>
    <w:p w14:paraId="424EBAB2">
      <w:pPr>
        <w:pStyle w:val="19"/>
        <w:widowControl/>
        <w:tabs>
          <w:tab w:val="left" w:pos="426"/>
        </w:tabs>
        <w:autoSpaceDE/>
        <w:autoSpaceDN/>
        <w:spacing w:before="120" w:after="120" w:line="360" w:lineRule="auto"/>
        <w:ind w:left="0"/>
        <w:jc w:val="both"/>
        <w:rPr>
          <w:rFonts w:hint="default" w:ascii="Arial" w:hAnsi="Arial" w:eastAsia="Verdana" w:cs="Arial"/>
          <w:bCs/>
          <w:iCs/>
          <w:sz w:val="22"/>
          <w:szCs w:val="22"/>
          <w:lang w:val="pt-BR" w:eastAsia="en-US" w:bidi="ar-SA"/>
        </w:rPr>
      </w:pPr>
      <w:r>
        <w:rPr>
          <w:rFonts w:hint="default" w:ascii="Arial" w:hAnsi="Arial" w:cs="Arial"/>
          <w:bCs/>
          <w:iCs/>
          <w:sz w:val="22"/>
          <w:szCs w:val="22"/>
          <w:lang w:val="pt-BR" w:eastAsia="en-US" w:bidi="ar-SA"/>
        </w:rPr>
        <w:t>10</w:t>
      </w:r>
      <w:r>
        <w:rPr>
          <w:rFonts w:hint="default" w:ascii="Arial" w:hAnsi="Arial" w:eastAsia="Verdana" w:cs="Arial"/>
          <w:bCs/>
          <w:iCs/>
          <w:sz w:val="22"/>
          <w:szCs w:val="22"/>
          <w:lang w:val="pt-BR" w:eastAsia="en-US" w:bidi="ar-SA"/>
        </w:rPr>
        <w:t>.3.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5D22E57">
      <w:pPr>
        <w:pStyle w:val="19"/>
        <w:widowControl/>
        <w:tabs>
          <w:tab w:val="left" w:pos="426"/>
        </w:tabs>
        <w:autoSpaceDE/>
        <w:autoSpaceDN/>
        <w:spacing w:before="120" w:after="120" w:line="276" w:lineRule="auto"/>
        <w:ind w:left="0"/>
        <w:jc w:val="both"/>
        <w:rPr>
          <w:rFonts w:hint="default" w:ascii="Arial" w:hAnsi="Arial" w:cs="Arial"/>
          <w:sz w:val="20"/>
          <w:szCs w:val="2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w:t>
      </w:r>
      <w:r>
        <w:rPr>
          <w:rFonts w:hint="default" w:ascii="Arial" w:hAnsi="Arial" w:cs="Arial" w:eastAsiaTheme="majorEastAsia"/>
          <w:b/>
          <w:bCs/>
          <w:lang w:val="en-US" w:eastAsia="pt-BR"/>
        </w:rPr>
        <w:t xml:space="preserve">PRIMEIRA </w:t>
      </w:r>
      <w:r>
        <w:rPr>
          <w:rFonts w:ascii="Arial" w:hAnsi="Arial" w:cs="Arial" w:eastAsiaTheme="majorEastAsia"/>
          <w:b/>
          <w:bCs/>
          <w:lang w:val="pt-BR" w:eastAsia="pt-BR"/>
        </w:rPr>
        <w:t>–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7" w:name="_Hlk114504069"/>
      <w:r>
        <w:rPr>
          <w:rStyle w:val="9"/>
          <w:rFonts w:ascii="Arial" w:hAnsi="Arial" w:eastAsia="Arial" w:cs="Arial"/>
        </w:rPr>
        <w:t>Lei nº 14.133, de 2021</w:t>
      </w:r>
      <w:bookmarkEnd w:id="7"/>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w:t>
      </w:r>
      <w:r>
        <w:rPr>
          <w:rFonts w:hint="default" w:ascii="Arial" w:hAnsi="Arial" w:eastAsia="Arial" w:cs="Arial"/>
          <w:lang w:val="pt-BR"/>
        </w:rPr>
        <w:t>1</w:t>
      </w:r>
      <w:r>
        <w:rPr>
          <w:rFonts w:ascii="Arial" w:hAnsi="Arial" w:eastAsia="Arial" w:cs="Arial"/>
        </w:rPr>
        <w:t>.1,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 inexecução total do contrato prevista na alínea “c” do subitem 1</w:t>
      </w:r>
      <w:r>
        <w:rPr>
          <w:rFonts w:hint="default" w:ascii="Arial" w:hAnsi="Arial" w:eastAsia="Arial" w:cs="Arial"/>
          <w:lang w:val="pt-BR"/>
        </w:rPr>
        <w:t>1</w:t>
      </w:r>
      <w:r>
        <w:rPr>
          <w:rFonts w:ascii="Arial" w:hAnsi="Arial" w:eastAsia="Arial" w:cs="Arial"/>
        </w:rPr>
        <w:t xml:space="preserve">.1,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w:t>
      </w:r>
      <w:r>
        <w:rPr>
          <w:rFonts w:hint="default" w:ascii="Arial" w:hAnsi="Arial" w:eastAsia="Arial" w:cs="Arial"/>
          <w:lang w:val="pt-BR"/>
        </w:rPr>
        <w:t>1</w:t>
      </w:r>
      <w:r>
        <w:rPr>
          <w:rFonts w:ascii="Arial" w:hAnsi="Arial" w:eastAsia="Arial" w:cs="Arial"/>
        </w:rPr>
        <w:t>.1,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w:t>
      </w:r>
      <w:r>
        <w:rPr>
          <w:rFonts w:hint="default" w:ascii="Arial" w:hAnsi="Arial" w:eastAsia="Arial" w:cs="Arial"/>
          <w:lang w:val="pt-BR"/>
        </w:rPr>
        <w:t>1</w:t>
      </w:r>
      <w:r>
        <w:rPr>
          <w:rFonts w:ascii="Arial" w:hAnsi="Arial" w:eastAsia="Arial" w:cs="Arial"/>
        </w:rPr>
        <w:t>.1,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w:t>
      </w:r>
      <w:r>
        <w:rPr>
          <w:rFonts w:hint="default" w:ascii="Arial" w:hAnsi="Arial" w:eastAsia="Arial" w:cs="Arial"/>
          <w:lang w:val="pt-BR"/>
        </w:rPr>
        <w:t>1</w:t>
      </w:r>
      <w:r>
        <w:rPr>
          <w:rFonts w:ascii="Arial" w:hAnsi="Arial" w:eastAsia="Arial" w:cs="Arial"/>
        </w:rPr>
        <w:t>.1,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14:paraId="4638A08C">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14:paraId="05740197">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14:paraId="4E6DB274">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14:paraId="6163F99C">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14:paraId="070FC42A">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14:paraId="02E53A4E">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14:paraId="2EFA7AE8">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14:paraId="5A49F571">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14:paraId="5ACB71AD">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xml:space="preserve">- CLÁUSULA DÉCIMA </w:t>
      </w:r>
      <w:r>
        <w:rPr>
          <w:rFonts w:hint="default" w:ascii="Arial" w:hAnsi="Arial" w:cs="Arial"/>
          <w:sz w:val="22"/>
          <w:szCs w:val="22"/>
          <w:lang w:val="pt-BR"/>
        </w:rPr>
        <w:t xml:space="preserve">SEGUNDA </w:t>
      </w:r>
      <w:r>
        <w:rPr>
          <w:rFonts w:ascii="Arial" w:hAnsi="Arial" w:cs="Arial"/>
          <w:sz w:val="22"/>
          <w:szCs w:val="22"/>
        </w:rPr>
        <w:t>–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14:paraId="4F33BC54">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14:paraId="0ECCD0B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14:paraId="62709D8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14:paraId="176A3888">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14:paraId="6107865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14:paraId="78BA3FC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w:t>
      </w:r>
      <w:r>
        <w:rPr>
          <w:rFonts w:hint="default" w:ascii="Arial" w:hAnsi="Arial" w:cs="Arial"/>
          <w:sz w:val="22"/>
          <w:szCs w:val="22"/>
          <w:lang w:val="pt-BR"/>
        </w:rPr>
        <w:t xml:space="preserve">TERCEIRA </w:t>
      </w:r>
      <w:r>
        <w:rPr>
          <w:rFonts w:ascii="Arial" w:hAnsi="Arial" w:cs="Arial"/>
          <w:sz w:val="22"/>
          <w:szCs w:val="22"/>
        </w:rPr>
        <w:t>–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14:paraId="45267C9C">
      <w:pPr>
        <w:pStyle w:val="19"/>
        <w:widowControl/>
        <w:numPr>
          <w:ilvl w:val="1"/>
          <w:numId w:val="3"/>
        </w:numPr>
        <w:tabs>
          <w:tab w:val="left" w:pos="426"/>
        </w:tabs>
        <w:autoSpaceDE/>
        <w:autoSpaceDN/>
        <w:spacing w:before="120" w:after="120" w:line="276" w:lineRule="auto"/>
        <w:ind w:left="0" w:firstLine="0"/>
        <w:jc w:val="both"/>
        <w:rPr>
          <w:rFonts w:hint="default" w:ascii="Arial" w:hAnsi="Arial" w:eastAsia="Arial" w:cs="Arial"/>
          <w:lang w:eastAsia="en-US"/>
        </w:rPr>
      </w:pPr>
      <w:r>
        <w:rPr>
          <w:rFonts w:hint="default" w:ascii="Arial" w:hAnsi="Arial" w:eastAsia="Arial" w:cs="Arial"/>
          <w:lang w:val="pt-BR"/>
        </w:rPr>
        <w:t xml:space="preserve"> </w:t>
      </w:r>
      <w:r>
        <w:rPr>
          <w:rFonts w:hint="default" w:ascii="Arial" w:hAnsi="Arial" w:eastAsia="Arial" w:cs="Arial"/>
          <w:lang w:eastAsia="en-US"/>
        </w:rPr>
        <w:t>As despesas decorrentes da presente contratação correrão à conta de recursos específicos consignados no Orçamento do Município.</w:t>
      </w:r>
    </w:p>
    <w:p w14:paraId="03AAE5B7">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lang w:eastAsia="en-US"/>
        </w:rPr>
      </w:pPr>
      <w:r>
        <w:rPr>
          <w:rFonts w:hint="default" w:ascii="Arial" w:hAnsi="Arial" w:eastAsia="Arial" w:cs="Arial"/>
          <w:lang w:eastAsia="en-US"/>
        </w:rPr>
        <w:t>13.2. A Contratação será atendida pela seguinte dotação:</w:t>
      </w:r>
    </w:p>
    <w:tbl>
      <w:tblPr>
        <w:tblStyle w:val="6"/>
        <w:tblW w:w="9356" w:type="dxa"/>
        <w:tblInd w:w="197" w:type="dxa"/>
        <w:tblLayout w:type="fixed"/>
        <w:tblCellMar>
          <w:top w:w="55" w:type="dxa"/>
          <w:left w:w="55" w:type="dxa"/>
          <w:bottom w:w="55" w:type="dxa"/>
          <w:right w:w="55" w:type="dxa"/>
        </w:tblCellMar>
      </w:tblPr>
      <w:tblGrid>
        <w:gridCol w:w="4677"/>
        <w:gridCol w:w="4679"/>
      </w:tblGrid>
      <w:tr w14:paraId="7F6A59CB">
        <w:tblPrEx>
          <w:tblCellMar>
            <w:top w:w="55" w:type="dxa"/>
            <w:left w:w="55" w:type="dxa"/>
            <w:bottom w:w="55" w:type="dxa"/>
            <w:right w:w="55" w:type="dxa"/>
          </w:tblCellMar>
        </w:tblPrEx>
        <w:tc>
          <w:tcPr>
            <w:tcW w:w="4677" w:type="dxa"/>
            <w:tcBorders>
              <w:top w:val="single" w:color="000000" w:sz="2" w:space="0"/>
              <w:left w:val="single" w:color="000000" w:sz="2" w:space="0"/>
              <w:bottom w:val="single" w:color="000000" w:sz="2" w:space="0"/>
            </w:tcBorders>
          </w:tcPr>
          <w:p w14:paraId="6325E184">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b/>
                <w:bCs/>
              </w:rPr>
            </w:pPr>
            <w:r>
              <w:rPr>
                <w:rFonts w:hint="default" w:ascii="Arial" w:hAnsi="Arial" w:eastAsia="Arial" w:cs="Arial"/>
                <w:b/>
                <w:bCs/>
                <w:lang w:eastAsia="en-US"/>
              </w:rPr>
              <w:t>GESTÃO / UNIDADE</w:t>
            </w:r>
          </w:p>
        </w:tc>
        <w:tc>
          <w:tcPr>
            <w:tcW w:w="4678" w:type="dxa"/>
            <w:tcBorders>
              <w:top w:val="single" w:color="000000" w:sz="2" w:space="0"/>
              <w:left w:val="single" w:color="000000" w:sz="2" w:space="0"/>
              <w:bottom w:val="single" w:color="000000" w:sz="2" w:space="0"/>
              <w:right w:val="single" w:color="000000" w:sz="2" w:space="0"/>
            </w:tcBorders>
          </w:tcPr>
          <w:p w14:paraId="7731663E">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lang w:val="pt-BR"/>
              </w:rPr>
            </w:pPr>
            <w:r>
              <w:rPr>
                <w:rFonts w:hint="default" w:ascii="Arial" w:hAnsi="Arial" w:eastAsia="Arial" w:cs="Arial"/>
              </w:rPr>
              <w:t xml:space="preserve">Secretaria de </w:t>
            </w:r>
            <w:r>
              <w:rPr>
                <w:rFonts w:hint="default" w:ascii="Arial" w:hAnsi="Arial" w:eastAsia="Arial" w:cs="Arial"/>
                <w:lang w:val="pt-BR"/>
              </w:rPr>
              <w:t>Infraestrutura e Obras</w:t>
            </w:r>
          </w:p>
        </w:tc>
      </w:tr>
      <w:tr w14:paraId="15B15729">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7C490E22">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b/>
                <w:bCs/>
              </w:rPr>
            </w:pPr>
            <w:r>
              <w:rPr>
                <w:rFonts w:hint="default" w:ascii="Arial" w:hAnsi="Arial" w:eastAsia="Arial" w:cs="Arial"/>
                <w:b/>
                <w:bCs/>
                <w:lang w:eastAsia="en-US"/>
              </w:rPr>
              <w:t>FONTE DE RECURSOS</w:t>
            </w:r>
          </w:p>
        </w:tc>
        <w:tc>
          <w:tcPr>
            <w:tcW w:w="4678" w:type="dxa"/>
            <w:tcBorders>
              <w:left w:val="single" w:color="000000" w:sz="2" w:space="0"/>
              <w:bottom w:val="single" w:color="000000" w:sz="2" w:space="0"/>
              <w:right w:val="single" w:color="000000" w:sz="2" w:space="0"/>
            </w:tcBorders>
          </w:tcPr>
          <w:p w14:paraId="119718ED">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rPr>
            </w:pPr>
            <w:r>
              <w:rPr>
                <w:rFonts w:hint="default" w:ascii="Arial" w:hAnsi="Arial" w:eastAsia="Arial" w:cs="Arial"/>
              </w:rPr>
              <w:t>172000000017</w:t>
            </w:r>
          </w:p>
        </w:tc>
      </w:tr>
      <w:tr w14:paraId="5E471D60">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1A71395">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b/>
                <w:bCs/>
              </w:rPr>
            </w:pPr>
            <w:r>
              <w:rPr>
                <w:rFonts w:hint="default" w:ascii="Arial" w:hAnsi="Arial" w:eastAsia="Arial" w:cs="Arial"/>
                <w:b/>
                <w:bCs/>
                <w:lang w:eastAsia="en-US"/>
              </w:rPr>
              <w:t>PROGRAMA DE TRABALHO</w:t>
            </w:r>
          </w:p>
        </w:tc>
        <w:tc>
          <w:tcPr>
            <w:tcW w:w="4678" w:type="dxa"/>
            <w:tcBorders>
              <w:left w:val="single" w:color="000000" w:sz="2" w:space="0"/>
              <w:bottom w:val="single" w:color="000000" w:sz="2" w:space="0"/>
              <w:right w:val="single" w:color="000000" w:sz="2" w:space="0"/>
            </w:tcBorders>
          </w:tcPr>
          <w:p w14:paraId="2F592BA4">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rPr>
            </w:pPr>
            <w:r>
              <w:rPr>
                <w:rFonts w:hint="default" w:ascii="Arial" w:hAnsi="Arial" w:eastAsia="Arial" w:cs="Arial"/>
              </w:rPr>
              <w:t>16 005 15 452 0008 1.010</w:t>
            </w:r>
          </w:p>
        </w:tc>
      </w:tr>
      <w:tr w14:paraId="0AC53D1B">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DE8F503">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b/>
                <w:bCs/>
              </w:rPr>
            </w:pPr>
            <w:r>
              <w:rPr>
                <w:rFonts w:hint="default" w:ascii="Arial" w:hAnsi="Arial" w:eastAsia="Arial" w:cs="Arial"/>
                <w:b/>
                <w:bCs/>
                <w:lang w:eastAsia="en-US"/>
              </w:rPr>
              <w:t>ELEMENTO DE DESPESA</w:t>
            </w:r>
          </w:p>
        </w:tc>
        <w:tc>
          <w:tcPr>
            <w:tcW w:w="4678" w:type="dxa"/>
            <w:tcBorders>
              <w:left w:val="single" w:color="000000" w:sz="2" w:space="0"/>
              <w:bottom w:val="single" w:color="000000" w:sz="2" w:space="0"/>
              <w:right w:val="single" w:color="000000" w:sz="2" w:space="0"/>
            </w:tcBorders>
          </w:tcPr>
          <w:p w14:paraId="6BB85FD7">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rPr>
            </w:pPr>
            <w:r>
              <w:rPr>
                <w:rFonts w:hint="default" w:ascii="Arial" w:hAnsi="Arial" w:eastAsia="Arial" w:cs="Arial"/>
              </w:rPr>
              <w:t>339039 - 40</w:t>
            </w:r>
          </w:p>
        </w:tc>
      </w:tr>
    </w:tbl>
    <w:p w14:paraId="4CFC9A44">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rPr>
      </w:pPr>
      <w:r>
        <w:rPr>
          <w:rFonts w:hint="default" w:ascii="Arial" w:hAnsi="Arial" w:eastAsia="Arial" w:cs="Arial"/>
          <w:lang w:eastAsia="en-US"/>
        </w:rPr>
        <w:t>13.3. A dotação relativa aos exercícios financeiros subsequentes será indicada após aprovação da Lei Orçamentária respectiva e liberação dos créditos correspondentes, mediante apostilamento.</w:t>
      </w:r>
    </w:p>
    <w:p w14:paraId="3AAFC5ED">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lang w:eastAsia="en-US"/>
        </w:rPr>
      </w:pPr>
      <w:r>
        <w:rPr>
          <w:rFonts w:hint="default" w:ascii="Arial" w:hAnsi="Arial" w:eastAsia="Arial" w:cs="Arial"/>
          <w:lang w:eastAsia="en-US"/>
        </w:rPr>
        <w:t>13.4. O orçamento deve estar conformado com o Plano Anual de Contratações, objetivando-se, sobretudo, a sustentabilidade financeira do Município.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w:t>
      </w:r>
      <w:r>
        <w:rPr>
          <w:rFonts w:hint="default" w:ascii="Arial" w:hAnsi="Arial" w:cs="Arial"/>
          <w:sz w:val="22"/>
          <w:szCs w:val="22"/>
          <w:lang w:val="pt-BR"/>
        </w:rPr>
        <w:t xml:space="preserve">QUARTA </w:t>
      </w:r>
      <w:r>
        <w:rPr>
          <w:rFonts w:ascii="Arial" w:hAnsi="Arial" w:cs="Arial"/>
          <w:sz w:val="22"/>
          <w:szCs w:val="22"/>
        </w:rPr>
        <w:t>– ALTERAÇÕES</w:t>
      </w:r>
    </w:p>
    <w:p w14:paraId="03F2739F">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14:paraId="074A5C54">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727C736">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14:paraId="59A5E521">
      <w:pPr>
        <w:pStyle w:val="19"/>
        <w:widowControl/>
        <w:tabs>
          <w:tab w:val="left" w:pos="426"/>
        </w:tabs>
        <w:autoSpaceDE/>
        <w:autoSpaceDN/>
        <w:spacing w:before="120" w:after="120" w:line="276" w:lineRule="auto"/>
        <w:ind w:left="0"/>
        <w:jc w:val="both"/>
      </w:pP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 xml:space="preserve">CLÁUSULA DÉCIMA </w:t>
      </w:r>
      <w:r>
        <w:rPr>
          <w:rFonts w:hint="default"/>
          <w:sz w:val="22"/>
          <w:szCs w:val="22"/>
          <w:lang w:val="pt-BR"/>
        </w:rPr>
        <w:t xml:space="preserve">QUINTA </w:t>
      </w:r>
      <w:r>
        <w:rPr>
          <w:sz w:val="22"/>
          <w:szCs w:val="22"/>
        </w:rPr>
        <w:t>– PUBLICAÇÃO</w:t>
      </w:r>
    </w:p>
    <w:p w14:paraId="6D2C9166">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14:paraId="1F0CFBF3">
      <w:pPr>
        <w:pStyle w:val="19"/>
        <w:tabs>
          <w:tab w:val="left" w:pos="426"/>
        </w:tabs>
        <w:ind w:left="0"/>
        <w:jc w:val="both"/>
      </w:pPr>
    </w:p>
    <w:p w14:paraId="431F5E12">
      <w:pPr>
        <w:pStyle w:val="44"/>
        <w:numPr>
          <w:ilvl w:val="0"/>
          <w:numId w:val="3"/>
        </w:numPr>
        <w:rPr>
          <w:sz w:val="22"/>
          <w:szCs w:val="22"/>
        </w:rPr>
      </w:pPr>
      <w:r>
        <w:rPr>
          <w:sz w:val="22"/>
          <w:szCs w:val="22"/>
        </w:rPr>
        <w:t xml:space="preserve">- CLÁUSULA DÉCIMA </w:t>
      </w:r>
      <w:r>
        <w:rPr>
          <w:rFonts w:hint="default"/>
          <w:sz w:val="22"/>
          <w:szCs w:val="22"/>
          <w:lang w:val="pt-BR"/>
        </w:rPr>
        <w:t xml:space="preserve">SEXTA </w:t>
      </w:r>
      <w:r>
        <w:rPr>
          <w:sz w:val="22"/>
          <w:szCs w:val="22"/>
        </w:rPr>
        <w:t>–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14:paraId="5B34558A">
      <w:pPr>
        <w:pStyle w:val="19"/>
        <w:numPr>
          <w:ilvl w:val="0"/>
          <w:numId w:val="0"/>
        </w:numPr>
        <w:tabs>
          <w:tab w:val="left" w:pos="426"/>
        </w:tabs>
        <w:ind w:leftChars="0"/>
        <w:jc w:val="both"/>
        <w:rPr>
          <w:rFonts w:ascii="Arial" w:hAnsi="Arial" w:cs="Arial"/>
        </w:rPr>
      </w:pPr>
    </w:p>
    <w:p w14:paraId="25397428">
      <w:pPr>
        <w:pStyle w:val="19"/>
        <w:tabs>
          <w:tab w:val="left" w:pos="426"/>
        </w:tabs>
        <w:ind w:left="0"/>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6C8743B5">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22FF977B">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43083AEE">
      <w:pPr>
        <w:spacing w:after="120"/>
        <w:jc w:val="center"/>
        <w:rPr>
          <w:rFonts w:ascii="Arial" w:hAnsi="Arial" w:cs="Arial"/>
        </w:rPr>
      </w:pPr>
    </w:p>
    <w:p w14:paraId="3D874EB0">
      <w:pPr>
        <w:spacing w:after="120"/>
        <w:jc w:val="center"/>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32382A8">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86"/>
    <w:family w:val="swiss"/>
    <w:pitch w:val="default"/>
    <w:sig w:usb0="E4002EFF" w:usb1="C200247B" w:usb2="00000009" w:usb3="00000000" w:csb0="200001F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Wide Latin"/>
    <w:panose1 w:val="02000000000000000000"/>
    <w:charset w:val="00"/>
    <w:family w:val="modern"/>
    <w:pitch w:val="default"/>
    <w:sig w:usb0="00000000" w:usb1="00000000" w:usb2="00000000" w:usb3="00000000" w:csb0="20000093" w:csb1="00000000"/>
  </w:font>
  <w:font w:name="Wide Latin">
    <w:panose1 w:val="020A0A07050505020404"/>
    <w:charset w:val="00"/>
    <w:family w:val="auto"/>
    <w:pitch w:val="default"/>
    <w:sig w:usb0="00000003" w:usb1="00000000" w:usb2="00000000" w:usb3="00000000" w:csb0="2000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3D57EC62">
    <w:pPr>
      <w:pStyle w:val="15"/>
      <w:jc w:val="center"/>
      <w:rPr>
        <w:b/>
        <w:i/>
      </w:rPr>
    </w:pPr>
    <w:r>
      <w:t>Comissão de Contratação - Prefeitura Municipal de Nova Friburgo/RJ</w:t>
    </w:r>
  </w:p>
  <w:p w14:paraId="6D8D70C0">
    <w:pPr>
      <w:pStyle w:val="15"/>
      <w:jc w:val="center"/>
      <w:rPr>
        <w:b/>
        <w:i/>
      </w:rPr>
    </w:pPr>
    <w:r>
      <w:t>Avenida Alberto Braune, nº 224, sobreloja - Centro</w:t>
    </w:r>
  </w:p>
  <w:p w14:paraId="662B5CA0">
    <w:pPr>
      <w:pStyle w:val="15"/>
      <w:jc w:val="center"/>
    </w:pPr>
    <w:r>
      <w:t>Telefone (22) 2525-9100 - Ramais 292 ou 350</w:t>
    </w:r>
  </w:p>
  <w:p w14:paraId="288D4F1A">
    <w:pPr>
      <w:pStyle w:val="15"/>
      <w:jc w:val="center"/>
    </w:pPr>
    <w:r>
      <w:t>E-mail: licitacao.cplpmnf@gmail.com</w:t>
    </w:r>
  </w:p>
  <w:p w14:paraId="58763C25">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35F20">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11BE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142"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857240" cy="974725"/>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5857240" cy="97472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F6D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E5A6A">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color w:val="auto"/>
        <w:u w:val="none"/>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7983601"/>
    <w:rsid w:val="0BF367A9"/>
    <w:rsid w:val="0EE125EF"/>
    <w:rsid w:val="11CC2ACE"/>
    <w:rsid w:val="14F36F36"/>
    <w:rsid w:val="160D2D3C"/>
    <w:rsid w:val="16BF3DDB"/>
    <w:rsid w:val="16CF35F9"/>
    <w:rsid w:val="1AF72D93"/>
    <w:rsid w:val="1B4C3F58"/>
    <w:rsid w:val="1B9816C4"/>
    <w:rsid w:val="1E6D512C"/>
    <w:rsid w:val="1E860B5C"/>
    <w:rsid w:val="1FD12E07"/>
    <w:rsid w:val="2874016E"/>
    <w:rsid w:val="29FA7887"/>
    <w:rsid w:val="31AB088A"/>
    <w:rsid w:val="3C4D19A5"/>
    <w:rsid w:val="3C9967A2"/>
    <w:rsid w:val="3D361311"/>
    <w:rsid w:val="407B5A18"/>
    <w:rsid w:val="432C3CA5"/>
    <w:rsid w:val="48341E9C"/>
    <w:rsid w:val="4CF3344B"/>
    <w:rsid w:val="501F24D5"/>
    <w:rsid w:val="52AB049E"/>
    <w:rsid w:val="5647129A"/>
    <w:rsid w:val="5BB22BFB"/>
    <w:rsid w:val="5C237373"/>
    <w:rsid w:val="623C6820"/>
    <w:rsid w:val="67F13956"/>
    <w:rsid w:val="68532C20"/>
    <w:rsid w:val="6A11270F"/>
    <w:rsid w:val="70CF7702"/>
    <w:rsid w:val="71A53791"/>
    <w:rsid w:val="749B1192"/>
    <w:rsid w:val="77B2358A"/>
    <w:rsid w:val="7D4C0E1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Hyperlink1"/>
    <w:qFormat/>
    <w:uiPriority w:val="6"/>
    <w:rPr>
      <w:color w:val="000080"/>
      <w:u w:val="single"/>
    </w:rPr>
  </w:style>
  <w:style w:type="paragraph" w:customStyle="1" w:styleId="62">
    <w:name w:val="Conteúdo da tabela"/>
    <w:basedOn w:val="1"/>
    <w:qFormat/>
    <w:uiPriority w:val="0"/>
    <w:pPr>
      <w:widowControl w:val="0"/>
      <w:suppressLineNumbers/>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17</Pages>
  <Words>5393</Words>
  <Characters>30563</Characters>
  <Lines>276</Lines>
  <Paragraphs>78</Paragraphs>
  <TotalTime>0</TotalTime>
  <ScaleCrop>false</ScaleCrop>
  <LinksUpToDate>false</LinksUpToDate>
  <CharactersWithSpaces>35776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thalles.gomes</cp:lastModifiedBy>
  <cp:lastPrinted>2023-08-22T17:19:00Z</cp:lastPrinted>
  <dcterms:modified xsi:type="dcterms:W3CDTF">2026-05-04T18:16:49Z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5BDC8CEBA3E94F8CA249749E2E807F87_12</vt:lpwstr>
  </property>
</Properties>
</file>